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Kindergarten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agenda and homework every day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jc w:val="left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agenda and homework every day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Revised 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plf4t2l9a8jr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Kindergarten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Demonstrate understanding of the organization and basic features of print: reading left to right, top to bottom, page by page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letter names and their sounds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Know and apply grade level phonics for decoding words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common high frequency words by sight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With prompting and support in non-fiction or fiction texts: retell familiar stories, ask and answer questions, identify characters and major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Count to 100 by 1s and 10s, count forward from any given number,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yellow"/>
                <w:rtl w:val="0"/>
              </w:rPr>
              <w:t xml:space="preserve">count by 10s to 100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numbers 0-20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Count to answer how many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Identify whether group of objects are greater than, less than, or equal to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Solve addition and subtraction word problems (within 10)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Compose and decompose numbers 11-19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Describe attributes of objects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Understand positional words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and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yellow"/>
                <w:rtl w:val="0"/>
              </w:rPr>
              <w:t xml:space="preserve">list attributes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of two and three dimensional shapes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